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86R10185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2964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placed on an open-enrollment charter school against the employment of a person determined under certain circumstances to have engaged in misconduct that presents a risk to the health, safety, or welfare of a student or minor.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12, Education Code, is amended by adding Section 12.10591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12.10591.</w:t>
      </w:r>
      <w:r>
        <w:rPr>
          <w:u w:val="single"/>
        </w:rPr>
        <w:t xml:space="preserve"> </w:t>
      </w:r>
      <w:r>
        <w:rPr>
          <w:u w:val="single"/>
        </w:rPr>
        <w:t xml:space="preserve"> </w:t>
      </w:r>
      <w:r>
        <w:rPr>
          <w:u w:val="single"/>
        </w:rPr>
        <w:t xml:space="preserve">PROHIBITION ON EMPLOYMENT OF CERTAIN PERSONS.  (a)  A person may not be employed by an open-enrollment charter school if, based on the person's misconduct that presents a risk to the health, safety, or welfare of a student or minor, as provided under Subsection (c), the State Board for Educator Certification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revoked, canceled, suspended, or placed restrictions on the person's educator certification;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refused to issue an educator certificate to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employed by an open-enrollment charter school if, based on the person's misconduct that presents a risk to the health, safety, or welfare of a student or minor, as provided under Subsection (c), the board of trustees of a school district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revoked the person's school district teaching permit;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refused to issue a school district teaching permit to the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each of the following is misconduct that presents a risk to the health, safety, or welfare of a student or minor: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engaging in abuse or neglect, as defined by Section 261.001,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engaging in assault, as prohibited under Section 22.01, Penal Code,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offense was committed on school property or at a school-sponsored or school-related activity on or off of school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victim of the offense was a public or private school employee;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engaging in a sexual offense, as prohibited under Chapter 21,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engaging in the offense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sexual assault, as prohibited under Section 22.011,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aggravated sexual assault, as prohibited under Section 22.021, Penal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abandoning or endangering a child, as prohibited under Section 22.041, Penal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deadly conduct, as prohibited under Section 22.05, Penal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engaging in an offense under Section 22.04, Penal Code, relating to an injury to a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engaging in the offense of online solicitation of a minor, as prohibited under Section 33.021, Penal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engaging in an offense under Section 37.10, Penal Code, or under Section 39.0303 of this code, relating to an assessment instrument;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engaging in the offense of the sale, distribution, or display of harmful material to a minor, as prohibited under Section 43.24, Penal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engaging in a romantic relationship with a student or minor or soliciting sexual contact or a romantic relationship with a student or minor;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 school property or while attending a school-sponsored or school-related activity on or off of school property, using, exhibiting, or possessing: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firearm as defined by Section 46.01(3), Penal Code, unless the person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not prohibited from that conduct as provided by Section 46.15, Penal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school marshal who is carrying or possessing a handgun under written school regulations;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location-restricted knife as defined by Section 46.01(6), Penal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club as defined by Section 46.01(1), Penal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weapon listed as a prohibited weapon under Section 46.05, Penal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while on or within 300 feet of school property, as measured from any point on the school's real property boundary line, or while attending a school-sponsored or school-related activity on or off of school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selling, giving, or delivering to another person or possessing, using, or being under the influence of any amount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marihuana or a controlled substance, as defined by Chapter 481, Health and Safety Code, or by 21 U.S.C. Section 801 et seq.;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dangerous drug, as defined by Chapter 483, Health and Safety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engaging in an offense relating to an abusable volatile chemical under Sections 485.031 through 485.033,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selling, giving, or delivering to a minor, regardless of location: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substance described by Subdivision (11)(A)(i) or (ii) or (11)(B);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alcoholic beverage, as defined by Section 1.04, Alcoholic Beverage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using fraud or deceit in obtaining or attempting to obtain an educator certificate or school district teaching permit;</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engaging in any other criminal offense punishable as a felony;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engaging in any other misconduct determined by the State Board for Educator Certification or a school district, as applicable, to present a risk to the health, safety, or welfare of a student or minor.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an employment contract entered into by an open-enrollment charter school on or after the effective date of this Act.  An employment contract entered into by an open-enrollment charter school before the effective date of this Act is governed by the law in effect on the date the contract was entered into,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