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86R6646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Zerwas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facilities and services for the care of the elderly or persons with disabilities in certain municipal hospital authorities, hospital districts, or other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262.034(e), (f), and (g),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section applies only to an authority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that owns or operates a hospital licensed under Chapter 241 and that is located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county with a population of 225,000 or less;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those portions of extended municipalities that the federal census bureau has determined to be rural;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an area that is not delineated as an urbanized area by the federal census bureau;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a municipality with a population of less than 12,000 and a county with a population of 2.5 million or more at the time the authority begins operating a facility or providing a service described by Subsection (a)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owns or operates a facility described by Subsection (a) that participates in the Quality Incentive Payment Program (QIPP) or a successor Medicaid supplemental payment program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This section does not authorize </w:t>
      </w:r>
      <w:r>
        <w:rPr>
          <w:u w:val="single"/>
        </w:rPr>
        <w:t xml:space="preserve">an authority described by Subsection (e)(1)</w:t>
      </w:r>
      <w:r>
        <w:t xml:space="preserve"> [</w:t>
      </w:r>
      <w:r>
        <w:rPr>
          <w:strike/>
        </w:rPr>
        <w:t xml:space="preserve">the authority</w:t>
      </w:r>
      <w:r>
        <w:t xml:space="preserve">] to issue revenue bonds or other notes in accordance with this chapter to construct, acquire, own, enlarge, improve, furnish, or equip a facility or service listed in Subsection (a) if a private provider of the facility or service is available and accessible in the service area of the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An authority described by Subsection </w:t>
      </w:r>
      <w:r>
        <w:rPr>
          <w:u w:val="single"/>
        </w:rPr>
        <w:t xml:space="preserve">(e)(1)(D)</w:t>
      </w:r>
      <w:r>
        <w:t xml:space="preserve"> [</w:t>
      </w:r>
      <w:r>
        <w:rPr>
          <w:strike/>
        </w:rPr>
        <w:t xml:space="preserve">(e)(4)</w:t>
      </w:r>
      <w:r>
        <w:t xml:space="preserve">] may not own or operate more than 50 licensed nursing home beds under this section and is not subject to Subsection (f).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285.101(a) and (d),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subchapter applies only to a hospital, hospital district, or authority created and operated under Article IX, Texas Constitution, under a special law, or under this title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that is located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county with a population of 35,000 or less;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those portions of extended municipalities that the federal census bureau has determined to be rural;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an area that is not delineated as an urbanized area by the federal census bureau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owns or operates a facility described by Subsection (b) that participates in the Quality Incentive Payment Program (QIPP) or a successor Medicaid supplemental payment program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does not authorize a hospital, hospital district, or authority </w:t>
      </w:r>
      <w:r>
        <w:rPr>
          <w:u w:val="single"/>
        </w:rPr>
        <w:t xml:space="preserve">described by Subsection (a)(1)</w:t>
      </w:r>
      <w:r>
        <w:t xml:space="preserve"> to issue revenue bonds or other notes in accordance with this chapter to construct, acquire, own, enlarge, improve, furnish, or equip a facility or service listed in Subsection (b)(1) if a private provider of the facility or service is available and accessible in the service area of the hospital, hospital district, or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