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86R14211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2970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consolidated eligibility screening process for benefits under certain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531.024183.</w:t>
      </w:r>
      <w:r>
        <w:rPr>
          <w:u w:val="single"/>
        </w:rPr>
        <w:t xml:space="preserve"> </w:t>
      </w:r>
      <w:r>
        <w:rPr>
          <w:u w:val="single"/>
        </w:rPr>
        <w:t xml:space="preserve"> </w:t>
      </w:r>
      <w:r>
        <w:rPr>
          <w:u w:val="single"/>
        </w:rPr>
        <w:t xml:space="preserve">CONSOLIDATED SCREENING FOR ASSISTANCE PROGRAMS.  (a)  The executive commissioner shall ensure that commission employees who conduct eligibility screenings for assistance programs use a consolidated eligibility screening procedure for an individual who personally appears at a commission office to apply for benefits on behalf of the individual or the individual's child.  The consolidated screening must allow for an eligibility screening for each of the following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assistance program under Chapter 31,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supplemental nutrition assistance program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ensure that an individual who is identified through the screening as eligible for an assistance program is assisted in applying for and enrolling in the program for which the individual or the individual's child is eligible.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develop eligibility screening and enrollment procedures for children that comply with the requirements of 42 U.S.C. Section 1397bb, as amended, </w:t>
      </w:r>
      <w:r>
        <w:rPr>
          <w:u w:val="single"/>
        </w:rPr>
        <w:t xml:space="preserve">Section 531.024183, Government Code,</w:t>
      </w:r>
      <w:r>
        <w:t xml:space="preserve"> and any other applicable law or regulations.  The procedures shall ensure that Medicaid-eligible children are identified and referred to the Medicaid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