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86R26022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sale, or exchange of real property or an interest in real property between the City of Austin and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under Subsection (c) provides for a transfer, sale, or exchange to be credited against future property or interests to be transferred, sold, or exchanged between the parties, the City of Austin may use any amount credited in the city's favor in a transfer, sale, or exchange of real property or an interest in real property with any state agency other than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