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sale, or exchange of real property or an interest in real property between the City of Austin and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under Subsection (c) provides for a transfer, sale, or exchange to be credited against future property or interests to be transferred, sold, or exchanged between the parties, the City of Austin may use any amount credited in the city's favor in a transfer, sale, or exchange of real property or an interest in real property with any state agency other than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2977 was passed by the House on May 3,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2977 was passed by the Senate on May</w:t>
      </w:r>
      <w:r xml:space="preserve">
        <w:t> </w:t>
      </w:r>
      <w:r>
        <w:t xml:space="preserve">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