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86R26022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2977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2977:</w:t>
      </w: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C.S.H.B.</w:t>
      </w:r>
      <w:r xml:space="preserve">
        <w:t> </w:t>
      </w:r>
      <w:r>
        <w:t xml:space="preserve">No.</w:t>
      </w:r>
      <w:r xml:space="preserve">
        <w:t> </w:t>
      </w:r>
      <w:r>
        <w:t xml:space="preserve">2977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sale, or exchange of real property or an interest in real property between the City of Austin and a state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2166.052,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agreement under Subsection (c) provides for a transfer, sale, or exchange to be credited against future property or interests to be transferred, sold, or exchanged between the parties, the City of Austin may use any amount credited in the city's favor in a transfer, sale, or exchange of real property or an interest in real property with any state agency other than an institution of higher education as defined by Section 61.003,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