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2977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19,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sale, or exchange of real property or an interest in real property between the City of Austin and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2166.052,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agreement under Subsection (c) provides for a transfer, sale, or exchange to be credited against future property or interests to be transferred, sold, or exchanged between the parties, the City of Austin may use any amount credited in the city's favor in a transfer, sale, or exchange of real property or an interest in real property with any state agency other than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