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86R3233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2978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agreement between the Texas State Library and Archives Commission and the City of Austin regarding an easement across commission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441, Government Code, is amended by adding Section 441.0165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441.0165.</w:t>
      </w:r>
      <w:r>
        <w:rPr>
          <w:u w:val="single"/>
        </w:rPr>
        <w:t xml:space="preserve"> </w:t>
      </w:r>
      <w:r>
        <w:rPr>
          <w:u w:val="single"/>
        </w:rPr>
        <w:t xml:space="preserve"> </w:t>
      </w:r>
      <w:r>
        <w:rPr>
          <w:u w:val="single"/>
        </w:rPr>
        <w:t xml:space="preserve">EASEMENT OVER COMMISSION PROPERTY.  (a) The commission and the City of Austin shall enter into an agreement under which the city may use any amount credited in favor of the city under Section 2166.052(c) to acquire, for a reasonable value, an easement across commission property.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use of any amount credited in favor of the City of Austin under Subsection (a) is subject to approval by the Texas Facilities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272.001, Local Government Code, does not apply to a transaction governed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