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86R24344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award of grants by the Texas Higher Education Coordinating Board to increase the availability of clinical education practice sites for certain nursing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61, Education Code, is amended by adding Section 61.96234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61.96234.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GRADUATE NURSING EDUCATION GRANTS.  (a)  Under the professional nursing shortage reduction program, the board may award graduate nursing education grants to institutions of higher education with a graduate professional nursing program to fund innovative approaches to increasing the availability of clinical education practice sites for graduate professional nursing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require an institution of higher education that receives a grant under this section to submit periodic reports describing the outcomes of the activities funded through the grant.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legislature may appropriate money for purposes of this section. </w:t>
      </w:r>
      <w:r>
        <w:rPr>
          <w:u w:val="single"/>
        </w:rPr>
        <w:t xml:space="preserve"> </w:t>
      </w:r>
      <w:r>
        <w:rPr>
          <w:u w:val="single"/>
        </w:rPr>
        <w:t xml:space="preserve">The board may use funds appropriated for the professional nursing shortage reduction program and funds returned to the board under Section 61.96232(e)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adopt rules for the administration of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 of each even-numbered year, the board shall submit to the legislature a report regarding the outcomes of the activities funded through the graduate nursing education grants awarded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