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incentive program to fund innovative solutions for clinical education of graduate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Subchapter Z, Education Code, is amended by adding Section 61.9630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61.9630.</w:t>
      </w:r>
      <w:r>
        <w:rPr>
          <w:u w:val="single"/>
        </w:rPr>
        <w:t xml:space="preserve"> </w:t>
      </w:r>
      <w:r>
        <w:rPr>
          <w:u w:val="single"/>
        </w:rPr>
        <w:t xml:space="preserve"> </w:t>
      </w:r>
      <w:r>
        <w:rPr>
          <w:u w:val="single"/>
        </w:rPr>
        <w:t xml:space="preserve">GRADUATE NURSING EDUCATION GRANTS.  (a)  Using funds appropriated for this purpose, and funds returned to the board under Subsection 61.9629(e), the board shall administer a grant program to fund innovative approaches for increasing the availability of clinical education practice sites for graduate nurses.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require a grant recipient to submit periodic reports describing the outcome of the activities funded through the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