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86R25577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inspection of certain early voting information;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85.072,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clerk shall provide a current copy of the register for posting on the Internet website of the authority ordering the election, if the authority maintains a website, each day early voting is conducted.  At a minimum, the voter registration number for each voter listed in the register must be posted.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87.121, Election Code, is amended by amending Subsections (g) and (h) and adding Subsections (i) and (j) to read as follows:</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not later than the beginning of regular business hours on the day after the date the information is entered on the roster under Subsection (c).  </w:t>
      </w:r>
      <w:r>
        <w:rPr>
          <w:u w:val="single"/>
        </w:rPr>
        <w:t xml:space="preserve">On the request of a person, the early voting clerk shall provide a copy of the roster in a paper or an electronic format.</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not later than the day following the day the early voting clerk receives a ballot voted by mail.  </w:t>
      </w:r>
      <w:r>
        <w:rPr>
          <w:u w:val="single"/>
        </w:rPr>
        <w:t xml:space="preserve">On the request of a person, the early voting clerk shall provide a copy of the roster in a paper or an electronic format.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responsible for maintaining the roster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provide information on or a copy of the roster under Subsection (g) or (h).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offense under Subsection (i) is a Class C misdemeanor.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