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86R12349 SRS-D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Guillen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2982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public inspection of an early voting roster; creating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87.121, Election Code, is amended by amending Subsection (h) and adding Subsections (i) and (j)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(h)</w:t>
      </w:r>
      <w:r xml:space="preserve">
        <w:t> </w:t>
      </w:r>
      <w:r xml:space="preserve">
        <w:t> </w:t>
      </w:r>
      <w:r>
        <w:t xml:space="preserve">Information on the roster for a person who votes an early voting ballot by mail shall be made available for public inspection not later than the day following the day the early voting clerk receives a ballot voted by mail.  </w:t>
      </w:r>
      <w:r>
        <w:rPr>
          <w:u w:val="single"/>
        </w:rPr>
        <w:t xml:space="preserve">A person may request a copy of the roster.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(i)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person commits an offense if the person: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responsible for maintaining the roster under this 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fails to provide information on the roster under Subsection (h).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(j)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Subsection (i) is a Class C misdemeanor.</w:t>
      </w:r>
      <w:r>
        <w:t xml:space="preserve">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2982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