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86R12794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 González of El Paso, Minjarez,</w:t>
      </w:r>
      <w:r xml:space="preserve">
        <w:tab wTab="150" tlc="none" cTlc="0"/>
      </w:r>
      <w:r>
        <w:t xml:space="preserve">H.B.</w:t>
      </w:r>
      <w:r xml:space="preserve">
        <w:t> </w:t>
      </w:r>
      <w:r>
        <w:t xml:space="preserve">No.</w:t>
      </w:r>
      <w:r xml:space="preserve">
        <w:t> </w:t>
      </w:r>
      <w:r>
        <w:t xml:space="preserve">2984</w:t>
      </w:r>
    </w:p>
    <w:p w:rsidR="003F3435" w:rsidRDefault="0032493E">
      <w:pPr>
        <w:jc w:val="both"/>
      </w:pPr>
      <w:r xml:space="preserve">
        <w:t> </w:t>
      </w:r>
      <w:r xml:space="preserve">
        <w:t> </w:t>
      </w:r>
      <w:r xml:space="preserve">
        <w:t> </w:t>
      </w:r>
      <w:r xml:space="preserve">
        <w:t> </w:t>
      </w:r>
      <w:r xml:space="preserve">
        <w:t> </w:t>
      </w:r>
      <w:r>
        <w:t xml:space="preserve">Lopez,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essential knowledge and skills of the technology applications curriculum.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 (c-3) to read as follows:</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In adopting the essential knowledge and skills for the technology applications curriculum for kindergarten through grade eight, the State Board of Education shall adopt essential knowledge and skills that include coding, computer programming, computational thinking, and cybersecurity. </w:t>
      </w:r>
      <w:r>
        <w:rPr>
          <w:u w:val="single"/>
        </w:rPr>
        <w:t xml:space="preserve"> </w:t>
      </w:r>
      <w:r>
        <w:rPr>
          <w:u w:val="single"/>
        </w:rPr>
        <w:t xml:space="preserve">The State Board of Education shall review and revise, as needed, the essential knowledge and skills of the technology applications curriculum every five years to ensure the curriculum: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relevant to student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aligns with current or emerging professions.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2020, the State Board of Education shall review and revise, as needed, the essential knowledge and skills of the technology applications curriculum as required by Section 28.002(c-3),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