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86R8005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H.B.</w:t>
      </w:r>
      <w:r xml:space="preserve">
        <w:t> </w:t>
      </w:r>
      <w:r>
        <w:t xml:space="preserve">No.</w:t>
      </w:r>
      <w:r xml:space="preserve">
        <w:t> </w:t>
      </w:r>
      <w:r>
        <w:t xml:space="preserve">2995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sales and use tax exemption for educational materials purchased by a teacher.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Effective January 1, 2020, Subchapter H, Chapter 151, Tax Code, is amended by adding Section 151.3272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151.3272.</w:t>
      </w:r>
      <w:r>
        <w:rPr>
          <w:u w:val="single"/>
        </w:rPr>
        <w:t xml:space="preserve"> </w:t>
      </w:r>
      <w:r>
        <w:rPr>
          <w:u w:val="single"/>
        </w:rPr>
        <w:t xml:space="preserve"> </w:t>
      </w:r>
      <w:r>
        <w:rPr>
          <w:u w:val="single"/>
        </w:rPr>
        <w:t xml:space="preserve">EDUCATIONAL MATERIALS PURCHASED BY TEACHER.  (a) </w:t>
      </w:r>
      <w:r>
        <w:rPr>
          <w:u w:val="single"/>
        </w:rPr>
        <w:t xml:space="preserve"> </w:t>
      </w:r>
      <w:r>
        <w:rPr>
          <w:u w:val="single"/>
        </w:rPr>
        <w:t xml:space="preserve">In this section, "educational material" means a taxable item used primarily at a school for an educational purpose. The term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school supply as that term is defined by Section 151.327;</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book or other similar learning tool;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item of technology;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furniture.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sale or storage, use, or other consumption of an educational material is exempted from the taxes imposed by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educational material is purchased by a teacher employed at a public school or open-enrollment charter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teacher completes, signs, and presents at the time of purchase the exemption certificate form described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in coordination with the Texas Education Agency, shall develop an exemption certificate form that a teacher must complete and use to claim the exemption provided by Subsection (b). </w:t>
      </w:r>
      <w:r>
        <w:rPr>
          <w:u w:val="single"/>
        </w:rPr>
        <w:t xml:space="preserve"> </w:t>
      </w:r>
      <w:r>
        <w:rPr>
          <w:u w:val="single"/>
        </w:rPr>
        <w:t xml:space="preserve">The comptroller and the Texas Education Agency shall make the form available on the comptroller's and agency's Internet websites.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31, 2019, the comptroller of public accounts and the Texas Education Agency shall post on the comptroller's and agency's Internet websites the exemption certificate form as required by Section 151.3272, Tax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do not affect tax liability accruing before the effective date of this Act. </w:t>
      </w:r>
      <w:r>
        <w:t xml:space="preserve"> </w:t>
      </w:r>
      <w:r>
        <w:t xml:space="preserve">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