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86R7126 JRJ-F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Vo</w:t>
      </w:r>
      <w:r xml:space="preserve">
        <w:tab wTab="150" tlc="none" cTlc="0"/>
      </w:r>
      <w:r>
        <w:t xml:space="preserve">H.B.</w:t>
      </w:r>
      <w:r xml:space="preserve">
        <w:t> </w:t>
      </w:r>
      <w:r>
        <w:t xml:space="preserve">No.</w:t>
      </w:r>
      <w:r xml:space="preserve">
        <w:t> </w:t>
      </w:r>
      <w:r>
        <w:t xml:space="preserve">3004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modification of an application for a place on the ballot.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141.032, Election Code, is amended by amending Subsection (g) and adding Subsection (h) to read as follows:</w:t>
      </w:r>
    </w:p>
    <w:p w:rsidR="003F3435" w:rsidRDefault="0032493E">
      <w:pPr>
        <w:spacing w:line="480" w:lineRule="auto"/>
        <w:ind w:firstLine="720"/>
        <w:jc w:val="both"/>
      </w:pPr>
      <w:r>
        <w:t xml:space="preserve">(g)</w:t>
      </w:r>
      <w:r xml:space="preserve">
        <w:t> </w:t>
      </w:r>
      <w:r xml:space="preserve">
        <w:t> </w:t>
      </w:r>
      <w:r>
        <w:rPr>
          <w:u w:val="single"/>
        </w:rPr>
        <w:t xml:space="preserve">Except as provided by Subsection (h), an application filed under Section 141.031 may not be supplemented, modified, or amended on or after the date it is received by the authority with whom it is required to be filed</w:t>
      </w:r>
      <w:r>
        <w:t xml:space="preserve"> [</w:t>
      </w:r>
      <w:r>
        <w:rPr>
          <w:strike/>
        </w:rPr>
        <w:t xml:space="preserve">After the filing deadline: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candidate may not amend an application filed under Section 141.031;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authority with whom the application is filed may not accept an amendment to an application filed under Section 141.031</w:t>
      </w:r>
      <w:r>
        <w:t xml:space="preserv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candidate may withdraw the candidate's application filed under Section 141.031 and any submitted petition and refile an amended application before the filing deadline.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141.062, Election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(d), a petition may not be supplemented, modified, or amended on or after the date it is received by the authority with whom it is required to be filed</w:t>
      </w:r>
      <w:r>
        <w:t xml:space="preserve"> [</w:t>
      </w:r>
      <w:r>
        <w:rPr>
          <w:strike/>
        </w:rPr>
        <w:t xml:space="preserve">After the filing deadline: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candidate may not amend a petition in lieu of a filing fee submitted with the candidate's application;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authority with whom the application is filed may not accept an amendment to a petition in lieu of a filing fee submitted with the candidate's application</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candidate may withdraw the candidate's petition and application filed under Section 141.031 and refile an amended petition before the filing deadline.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to an application for a place on the ballot filed on or after the effective date of this Act.  An application for a place on the ballot filed before the effective date of this Act is covered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