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86R8442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3005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college preparatory courses for public high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28.014,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Each school district shall partner with at least one institution of higher education to develop and provide courses in college preparatory mathematics and English language arts. </w:t>
      </w:r>
      <w:r>
        <w:t xml:space="preserve"> </w:t>
      </w:r>
      <w:r>
        <w:t xml:space="preserve">The courses must be designed:</w:t>
      </w:r>
    </w:p>
    <w:p w:rsidR="003F3435" w:rsidRDefault="0032493E">
      <w:pPr>
        <w:spacing w:line="480" w:lineRule="auto"/>
        <w:ind w:firstLine="1440"/>
        <w:jc w:val="both"/>
      </w:pPr>
      <w:r>
        <w:t xml:space="preserve">(1)</w:t>
      </w:r>
      <w:r xml:space="preserve">
        <w:t> </w:t>
      </w:r>
      <w:r xml:space="preserve">
        <w:t> </w:t>
      </w:r>
      <w:r>
        <w:rPr>
          <w:u w:val="single"/>
        </w:rPr>
        <w:t xml:space="preserve">subject to Subsection (a-1),</w:t>
      </w:r>
      <w:r>
        <w:t xml:space="preserve"> for students at the </w:t>
      </w:r>
      <w:r>
        <w:rPr>
          <w:u w:val="single"/>
        </w:rPr>
        <w:t xml:space="preserve">11th and</w:t>
      </w:r>
      <w:r>
        <w:t xml:space="preserve"> 12th grade </w:t>
      </w:r>
      <w:r>
        <w:rPr>
          <w:u w:val="single"/>
        </w:rPr>
        <w:t xml:space="preserve">levels</w:t>
      </w:r>
      <w:r>
        <w:t xml:space="preserve"> [</w:t>
      </w:r>
      <w:r>
        <w:rPr>
          <w:strike/>
        </w:rPr>
        <w:t xml:space="preserve">level</w:t>
      </w:r>
      <w:r>
        <w:t xml:space="preserve">] whose performance on:</w:t>
      </w:r>
    </w:p>
    <w:p w:rsidR="003F3435" w:rsidRDefault="0032493E">
      <w:pPr>
        <w:spacing w:line="480" w:lineRule="auto"/>
        <w:ind w:firstLine="2160"/>
        <w:jc w:val="both"/>
      </w:pPr>
      <w:r>
        <w:t xml:space="preserve">(A)</w:t>
      </w:r>
      <w:r xml:space="preserve">
        <w:t> </w:t>
      </w:r>
      <w:r xml:space="preserve">
        <w:t> </w:t>
      </w:r>
      <w:r>
        <w:t xml:space="preserve">an end-of-course assessment instrument required under Section 39.023(c) does not meet college readiness standards; or</w:t>
      </w:r>
    </w:p>
    <w:p w:rsidR="003F3435" w:rsidRDefault="0032493E">
      <w:pPr>
        <w:spacing w:line="480" w:lineRule="auto"/>
        <w:ind w:firstLine="2160"/>
        <w:jc w:val="both"/>
      </w:pPr>
      <w:r>
        <w:t xml:space="preserve">(B)</w:t>
      </w:r>
      <w:r xml:space="preserve">
        <w:t> </w:t>
      </w:r>
      <w:r xml:space="preserve">
        <w:t> </w:t>
      </w:r>
      <w:r>
        <w:t xml:space="preserve">coursework, a college entrance examination, or an assessment instrument designated under Section 51.334 indicates that the student is not ready to perform entry-level college coursework; and</w:t>
      </w:r>
    </w:p>
    <w:p w:rsidR="003F3435" w:rsidRDefault="0032493E">
      <w:pPr>
        <w:spacing w:line="480" w:lineRule="auto"/>
        <w:ind w:firstLine="1440"/>
        <w:jc w:val="both"/>
      </w:pPr>
      <w:r>
        <w:t xml:space="preserve">(2)</w:t>
      </w:r>
      <w:r xml:space="preserve">
        <w:t> </w:t>
      </w:r>
      <w:r xml:space="preserve">
        <w:t> </w:t>
      </w:r>
      <w:r>
        <w:t xml:space="preserve">to prepare students for success in entry-level college courses.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student at the 11th grade level may take a course provided under Subsection (a) if the student demonstrates to an appropriate campus administrator that the student would otherwise be unable to take the course during the student's 12th grade year and complete the curriculum requirements for high school graduation.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