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86R9795 SOS-D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a civic education project fund for supporting student civic education projects and educator professional development related to those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29, Education Code, is amended by adding Section 29.919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29.919.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CIVIC EDUCATION PROJECT FUND.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"Civic education project" means a project that includes the concepts of civic engagement and the rights and responsibilities of citizenship and may combine out-of-school service experience with academic study.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"Fund" means the civic education project fund.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civic education project fund is an account in the general revenue fund administered by the commissioner.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fund consists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gifts, grants, or donations to the fund;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money appropriated, credited, or transferred to the fund by or at the direction of the legislature.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fund is established for the purpose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public school students enrolled in the fourth or a higher grade who are economically disadvantaged, as determined by the commissioner, the opportunity to complete a civic education project;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supporting educator professional development to assist educators in preparing students described by Subdivision (1) to successfully complete a civic education project.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Money in the fund may be used only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allocating money from the fund, the commissioner may give priority to a school district in which at least 40 percent of the students enrolled in the district on September 1 of the school year are economically disadvantaged, as determined by the commissioner.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may adopt rules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fund established under Section 29.919, Education Code, as added by this Act, may be used for the purposes described by Subsection (d) of that section beginning with the 2020-2021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