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Ashby</w:t>
      </w:r>
      <w:r xml:space="preserve">
        <w:tab wTab="150" tlc="none" cTlc="0"/>
      </w:r>
      <w:r>
        <w:t xml:space="preserve">H.B.</w:t>
      </w:r>
      <w:r xml:space="preserve">
        <w:t> </w:t>
      </w:r>
      <w:r>
        <w:t xml:space="preserve">No.</w:t>
      </w:r>
      <w:r xml:space="preserve">
        <w:t> </w:t>
      </w:r>
      <w:r>
        <w:t xml:space="preserve">3009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21.467.</w:t>
      </w:r>
      <w:r>
        <w:rPr>
          <w:u w:val="single"/>
        </w:rPr>
        <w:t xml:space="preserve"> </w:t>
      </w:r>
      <w:r>
        <w:rPr>
          <w:u w:val="single"/>
        </w:rPr>
        <w:t xml:space="preserve"> </w:t>
      </w:r>
      <w:r>
        <w:rPr>
          <w:u w:val="single"/>
        </w:rPr>
        <w:t xml:space="preserve">CIVICS COURSE TRAINING.  The agency shall advise school districts regarding training materials and resources for a school district to use in assisting educators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civics projects and methods of teaching as described in Section 28.0028;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 and teach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students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u w:val="single"/>
        </w:rPr>
        <w:t xml:space="preserve">civics,</w:t>
      </w:r>
      <w:r>
        <w:t xml:space="preserve">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 the importance of proper nutrition and exercise;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28.0028.</w:t>
      </w:r>
      <w:r>
        <w:rPr>
          <w:u w:val="single"/>
        </w:rPr>
        <w:t xml:space="preserve"> </w:t>
      </w:r>
      <w:r>
        <w:rPr>
          <w:u w:val="single"/>
        </w:rPr>
        <w:t xml:space="preserve"> </w:t>
      </w:r>
      <w:r>
        <w:rPr>
          <w:u w:val="single"/>
        </w:rPr>
        <w:t xml:space="preserve">CIVICS INSTRUCTION.  (a)  The essential knowledge and skills for the social studies curriculum under Section 28.002 must include instruction in civics: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in grade four, five, six, seven, or eight;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one or more courses offered at the high school level that satisfy graduation requirements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that offers a high school program shall provide an elective course in civics that meets the requirements for one credit in civics under Section 28.025(b-1)(4).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shall develop a civics curriculum as described by this section.  The curriculum must be developed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 the civics learning objectives contained in the essential knowledge and skills for social studies;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an understanding and appreciation of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opportunities for students to engage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curriculum described under this section, each school district or open-enrollment charter school shall develop a course of study that is project based.  The course of study may take the form of a capstone project, portfolio, or presentation.  The course of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inquiry-based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 problem solving;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an issue that is relevant to the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of every even-numbered year, each school district and open-enrollment charter school shall submit to the agency a report that describes the projects developed through civics courses offered by the district or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adopt rules necessary to gather data and conduct research to substantiate any correlation between taking a civics course offered under this section and student achievement under Section 39.053.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w:t>
      </w:r>
      <w:r>
        <w:rPr>
          <w:u w:val="single"/>
        </w:rPr>
        <w:t xml:space="preserve">,</w:t>
      </w:r>
      <w:r>
        <w:t xml:space="preserve"> [</w:t>
      </w:r>
      <w:r>
        <w:rPr>
          <w:strike/>
        </w:rPr>
        <w:t xml:space="preserve">or</w:t>
      </w:r>
      <w:r>
        <w:t xml:space="preserve">] world history</w:t>
      </w:r>
      <w:r>
        <w:rPr>
          <w:u w:val="single"/>
        </w:rPr>
        <w:t xml:space="preserve">, or civics</w:t>
      </w:r>
      <w:r>
        <w:t xml:space="preserve">;</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1, 2020, each school district and open-enrollment charter school shall submit the initial report required under Section 28.0028,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