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86R25720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provision of course work to public school students subject to in-school or out-of-school suspension.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37.005, Education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provide to a student during the period of the student's suspension under this section, regardless of whether the student is placed in in-school or out-of-school suspension, an alternative means of receiving all course work provided in the classes in the foundation curriculum under Section 28.002(a)(1) that the student misses as a result of the suspension. </w:t>
      </w:r>
      <w:r>
        <w:rPr>
          <w:u w:val="single"/>
        </w:rPr>
        <w:t xml:space="preserve"> </w:t>
      </w:r>
      <w:r>
        <w:rPr>
          <w:u w:val="single"/>
        </w:rPr>
        <w:t xml:space="preserve">The district must provide at least one option for receiving the course work that does not require the use of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