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86R8037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3013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suspension or expulsion of a student by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suspension of a student under Section 37.005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12.131(b),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may not elect to expel a student for a reason that is not authorized by Section 37.007 [</w:t>
      </w:r>
      <w:r>
        <w:rPr>
          <w:strike/>
        </w:rPr>
        <w:t xml:space="preserve">or specified in the school's code of conduct as conduct that may result in expulsion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