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Burrows</w:t>
      </w:r>
      <w:r>
        <w:t xml:space="preserve"> (Senate Sponsor</w:t>
      </w:r>
      <w:r xml:space="preserve">
        <w:t> </w:t>
      </w:r>
      <w:r>
        <w:t xml:space="preserve">-</w:t>
      </w:r>
      <w:r xml:space="preserve">
        <w:t> </w:t>
      </w:r>
      <w:r>
        <w:t xml:space="preserve">Perry)</w:t>
      </w:r>
      <w:r xml:space="preserve">
        <w:tab wTab="150" tlc="none" cTlc="0"/>
      </w:r>
      <w:r>
        <w:t xml:space="preserve">H.B.</w:t>
      </w:r>
      <w:r xml:space="preserve">
        <w:t> </w:t>
      </w:r>
      <w:r>
        <w:t xml:space="preserve">No.</w:t>
      </w:r>
      <w:r xml:space="preserve">
        <w:t> </w:t>
      </w:r>
      <w:r>
        <w:t xml:space="preserve">3014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13,</w:t>
      </w:r>
      <w:r xml:space="preserve">
        <w:t> </w:t>
      </w:r>
      <w:r>
        <w:t xml:space="preserve">2019; May</w:t>
      </w:r>
      <w:r xml:space="preserve">
        <w:t> </w:t>
      </w:r>
      <w:r>
        <w:t xml:space="preserve">14,</w:t>
      </w:r>
      <w:r xml:space="preserve">
        <w:t> </w:t>
      </w:r>
      <w:r>
        <w:t xml:space="preserve">2019, read first time and referred to Committee on State Affairs; May</w:t>
      </w:r>
      <w:r xml:space="preserve">
        <w:t> </w:t>
      </w:r>
      <w:r>
        <w:t xml:space="preserve">19,</w:t>
      </w:r>
      <w:r xml:space="preserve">
        <w:t> </w:t>
      </w:r>
      <w:r>
        <w:t xml:space="preserve">2019, reported favorably by the following vote:</w:t>
      </w:r>
      <w:r>
        <w:t xml:space="preserve"> </w:t>
      </w:r>
      <w:r>
        <w:t xml:space="preserve"> </w:t>
      </w:r>
      <w:r>
        <w:t xml:space="preserve">Yeas 9, Nays 0; May</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clerk and other personnel of the municipal court of record of the City of Lubbock.</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30.00044(l), Government Code, is amended to read as follows:</w:t>
      </w:r>
    </w:p>
    <w:p w:rsidR="003F3435" w:rsidRDefault="0032493E">
      <w:pPr>
        <w:spacing w:line="480" w:lineRule="auto"/>
        <w:ind w:firstLine="720"/>
        <w:jc w:val="both"/>
      </w:pPr>
      <w:r>
        <w:t xml:space="preserve">(l)</w:t>
      </w:r>
      <w:r xml:space="preserve">
        <w:t> </w:t>
      </w:r>
      <w:r xml:space="preserve">
        <w:t> </w:t>
      </w:r>
      <w:r>
        <w:rPr>
          <w:u w:val="single"/>
        </w:rPr>
        <w:t xml:space="preserve">Sections</w:t>
      </w:r>
      <w:r>
        <w:t xml:space="preserve"> [</w:t>
      </w:r>
      <w:r>
        <w:rPr>
          <w:strike/>
        </w:rPr>
        <w:t xml:space="preserve">Section</w:t>
      </w:r>
      <w:r>
        <w:t xml:space="preserve">] 30.00007(b)(5) </w:t>
      </w:r>
      <w:r>
        <w:rPr>
          <w:u w:val="single"/>
        </w:rPr>
        <w:t xml:space="preserve">and 30.00009(c) and (d) do</w:t>
      </w:r>
      <w:r>
        <w:t xml:space="preserve"> [</w:t>
      </w:r>
      <w:r>
        <w:rPr>
          <w:strike/>
        </w:rPr>
        <w:t xml:space="preserve">does</w:t>
      </w:r>
      <w:r>
        <w:t xml:space="preserve">] not apply to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clerk and other court personnel of the municipal court of record of the City of Lubbock employed on or after the effective date of this Act, regardless of whether the clerk or other personnel began employment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