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86R9216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educational requirements for inmates who are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493, Government Code, is amended by adding Section 493.032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493.032.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EDUCATIONAL REQUIREMENTS FOR CERTAIN INMATES.  (a)  The department shall provide a course of instruction that includes the required curriculum provided by Section 28.002, Education Code, to each inmate who is younger than 18 years of age unless providing the instruction poses a significant safety threat to instructors.  The Texas Education Agency shall collaborate with the department in providing necessary materials for instruction.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enter into an agreement with the Windham School District for purposes of complying with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