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86R13820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nonconsensual pelvic examinations;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167A to read as follows:</w:t>
      </w:r>
    </w:p>
    <w:p w:rsidR="003F3435" w:rsidRDefault="0032493E">
      <w:pPr>
        <w:spacing w:line="480" w:lineRule="auto"/>
        <w:jc w:val="center"/>
      </w:pPr>
      <w:r>
        <w:rPr>
          <w:u w:val="single"/>
        </w:rPr>
        <w:t xml:space="preserve">CHAPTER 167A.  NONCONSENSUAL PELVIC EXAMINATIONS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167A.001.</w:t>
      </w:r>
      <w:r>
        <w:rPr>
          <w:u w:val="single"/>
        </w:rPr>
        <w:t xml:space="preserve"> </w:t>
      </w:r>
      <w:r>
        <w:rPr>
          <w:u w:val="single"/>
        </w:rPr>
        <w:t xml:space="preserve"> </w:t>
      </w:r>
      <w:r>
        <w:rPr>
          <w:u w:val="single"/>
        </w:rPr>
        <w:t xml:space="preserve">NONCONSENSUAL PELVIC EXAMINATIONS PROHIBITED.  A health care practitioner, including a physician, physician assistant, or advanced practice registered nurse, who is licensed to practice in this state may not perform, or instruct any other person to perform, a nonconsensual pelvic examination on a patient unless the practitioner has a legitimate medical reason for conducting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167A.002.</w:t>
      </w:r>
      <w:r>
        <w:rPr>
          <w:u w:val="single"/>
        </w:rPr>
        <w:t xml:space="preserve"> </w:t>
      </w:r>
      <w:r>
        <w:rPr>
          <w:u w:val="single"/>
        </w:rPr>
        <w:t xml:space="preserve"> </w:t>
      </w:r>
      <w:r>
        <w:rPr>
          <w:u w:val="single"/>
        </w:rPr>
        <w:t xml:space="preserve">DISCIPLINARY ACTION.  A health care practitioner who violates Section 167A.001 is subject to disciplinary action by the state regulatory agency that issued a license to the practitioner, including the imposition of an administrative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a nonconsensual pelvic examination in violation of Section 167A.001,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nonconsensual pelvic examination performed on or after the effective date of this Act.  A nonconsensual pelvic examination performed before the effective date of this Act is governed by the law in effect when the nonconsensual pelvic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