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86R11634 MM-F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3025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procedures regarding a dispute relating to special education services provided by a school district or open-enrollment charter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29, Education Code, is amended by adding Section 29.0043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29.0043.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DISPUTE REGARDING REFERRAL FOR EVALUATION.  If a parent of a student who is eligible for or who is suspected as being eligible for special education services disputes a school district's or open-enrollment charter school's referral of the student for evaluation under Section 29.004, the district or school may provide to the parent a facilitated meeting with a school counselor regarding the potential advantages, disadvantages, benefits, and concerns of accepting or declining the evaluation on behalf of the student.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29.019(c),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a school district chooses to offer individualized education program facilitation as an alternative dispute resolution method: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district may determine whether to use independent contractors, district employees, or other qualified individuals as facilitators;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information provided by the district under this section must include a description of any applicable procedures for requesting the facilitation;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facilitation must be provided at no cost to a parent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parent may request the facilitation not later than the ninth calendar day following the date on which the dispute arose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