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86R8316 SOS-D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assignment of certain behavioral health professionals to a public school campus.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33.911.</w:t>
      </w:r>
      <w:r>
        <w:rPr>
          <w:u w:val="single"/>
        </w:rPr>
        <w:t xml:space="preserve"> </w:t>
      </w:r>
      <w:r>
        <w:rPr>
          <w:u w:val="single"/>
        </w:rPr>
        <w:t xml:space="preserve"> </w:t>
      </w:r>
      <w:r>
        <w:rPr>
          <w:u w:val="single"/>
        </w:rPr>
        <w:t xml:space="preserve">BEHAVIORAL HEALTH PROFESSIONAL.  (a)  In this section, "behavioral health professional"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specialist in school psychology licensed under Chapter 501,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professional counselor licensed under Chapter 503,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clinical social worker licensed under Chapter 505,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counselor with an appropriate certificate or permit issued under Subchapter B, Chapter 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with 400 or more students in average daily attendance shall assign one behavioral health professional for every 400 students in average daily attendance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other duties, the duties of a behavioral health professional assigned under this section must include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students in confidential counseling matters;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students and parents the counseling required by Section 28.025(b);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the duties described by Subdivisions (1) and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requires a behavioral health professional to provide students and parents the counseling required by Section 28.025(b) must ensure the behavioral health professional receives training in providing that counseling.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counselor assigned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fulfill the requirements of a school counselor under Subchapter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administer personal graduation plans under Section 28.0212;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personal graduation plan options with each student entering grade nine, as required by Section 28.02121(c).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behavioral health professional assigned under this section must comply with guidelines concerning parental consent adopted under Section 33.003 and may not consult with a student without the permission of the student's parent or guardian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safety of the student is at 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is at risk of being involved in domestic violence;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 order allows or requires the consultation without the permission.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implementing a comprehensive and developmental guidance and counseling program, a behavioral health professional shall conduct a preview of the program for parents and guardians, as required by Section 33.004(b).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may not require a behavioral health professional assigned under this section to administer assessment instruments or provide other assistance in connection with assessment instruments, except that a school district may require the behavioral health professional to engage in the interpretation of data obtained from the administration of assessment instruments.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behavioral health professional assigned under this section may serve more than one campus of the district provided the ratio of students to behavioral health professionals does not exceed 600 to 1. </w:t>
      </w:r>
      <w:r>
        <w:rPr>
          <w:u w:val="single"/>
        </w:rPr>
        <w:t xml:space="preserve"> </w:t>
      </w:r>
      <w:r>
        <w:rPr>
          <w:u w:val="single"/>
        </w:rPr>
        <w:t xml:space="preserve">This subsection expires December 31, 2024.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Beginning January 1, 2025, a behavioral health professional assigned under this section may serve more than one campus of the district provided the ratio of students to behavioral health professionals does not exceed 520 to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school district shall employ a behavioral health professional, as required by Section 33.911,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