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86R9305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student identification cards issued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51, Education Code, is amended by adding Section 51.2095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51.2095.</w:t>
      </w:r>
      <w:r>
        <w:rPr>
          <w:u w:val="single"/>
        </w:rPr>
        <w:t xml:space="preserve"> </w:t>
      </w:r>
      <w:r>
        <w:rPr>
          <w:u w:val="single"/>
        </w:rPr>
        <w:t xml:space="preserve"> </w:t>
      </w:r>
      <w:r>
        <w:rPr>
          <w:u w:val="single"/>
        </w:rPr>
        <w:t xml:space="preserve">STUDENT IDENTIFICATION CARD REQUIREMENTS.  (a)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Higher Education Coordinating Board shall develop standards governing the form and appearance of a student identification card issued by an institution of higher education to prevent counterfeiting and ensure that all institutions of higher education issue identification cards in the same form except for features that distinguish each institution. </w:t>
      </w:r>
      <w:r>
        <w:rPr>
          <w:u w:val="single"/>
        </w:rPr>
        <w:t xml:space="preserve"> </w:t>
      </w:r>
      <w:r>
        <w:rPr>
          <w:u w:val="single"/>
        </w:rPr>
        <w:t xml:space="preserve">Each institution of higher education must conform to the standards in issuing student identification cards.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must require a student identification card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distinguishing number assigned by the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photograph of the entire face of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full name and date of birth of the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brief description of the student;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student's residence address or, for a student using the procedure under Subsection (e), the street address of the courthouse in which the student or student's spouse serves as a federal judge or state judge;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expiration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identification card must include a facsimile of the student's signature or a space on which the student shall write the student's usual signature in ink immediately on receipt of the identification card.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shall establish a procedure, on a student's or a student's spouse's qualification for office as a federal judge or a state judge as defined by Section 572.002, Government Code, to omit the residence address of the judge and the spouse of the judge on the student's student identification card and to include, in lieu of that address, the street address of the courthouse in which the student or student's spouse serves as a federal judge or state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student identification cards issued by public institutions of higher education for the 2020-2021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