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86R11644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aggregate production operation air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382.067.</w:t>
      </w:r>
      <w:r>
        <w:rPr>
          <w:u w:val="single"/>
        </w:rPr>
        <w:t xml:space="preserve"> </w:t>
      </w:r>
      <w:r>
        <w:rPr>
          <w:u w:val="single"/>
        </w:rPr>
        <w:t xml:space="preserve"> </w:t>
      </w:r>
      <w:r>
        <w:rPr>
          <w:u w:val="single"/>
        </w:rPr>
        <w:t xml:space="preserve">AGGREGATE PRODUCTION OPERATION ROAD LOAD LIMITS.  (a) In this section, "aggregate production operation" has the meaning assigned by Section 28A.001,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an air permit under Section 382.051 to an aggregate production operation unless the operation demonstrates that the Texas Department of Transportation and the commissioners court of the county in which the proposed aggregate production operation is located have established load limits under Sections 621.102 and 621.301, Transportation Code, on each road on which the operation expects to operate vehicles.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aggregate production operation may petition to the Texas Department of Transportation for a technical review of a load limit established by the commissioners court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that is filed with the Texas Commission on Environmental Quality on or after the effective date of this Act. </w:t>
      </w:r>
      <w:r>
        <w:t xml:space="preserve"> </w:t>
      </w:r>
      <w:r>
        <w:t xml:space="preserve">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