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86R10718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Biedermann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351.102, Tax Code, is amended by amending Subsection (e) and adding Subsection (f-1)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 addition to the municipalities described by Subsection (b), that subsection also applies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with a population of at least 110,000 but not more than 135,000 at least part of which is located in a county with a population of not more than 135,000;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municipality with a population of at least 9,000 but not more than 10,000 that is located in two counties, each of which has a population of at least 662,000 and a southern border with a county with a population of 2.3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municipality with a population of at least 200,000 but not more than 300,000 that contains a component institution of the Texas Tech University System;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municipality with a population of at least 95,000 that borders Lake Lewisville;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contains a portion of Cedar Hill State Park;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45,000;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located in two counties, one of which has a population of more than two million and one of which has a population of more than 149,000;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municipality with a population of less than 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in two counties each with a population of 600,000 or more that are both adjacent to a county with a population of two million or more;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full-time police and fire departments;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municipality with a population of at least 56,000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Lake Ray Hubbard;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two counties, one of which has a population of less than 80,000;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municipality with a population of more than 83,000, that borders Clear Lake, and that is primarily located in a county with a population of less than 300,000;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municipality with a population of less than 2,000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adjacent to a bay connected to the Gulf of Mexico;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located in a county with a population of 290,000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has a boardwalk on the bay;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 municipality with a population of 75,000 or more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wholly in one county with a population of 575,000 or more that is adjacent to a county with a population of four million or more;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adopted a capital improvement plan for the construction or expansion of a convention center facility;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a municipality with a population of less than 75,000 that is located in three counties, at least one of which has a population of at least four million;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an eligible coastal municipality with a population of more than 3,000 but less than 5,000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is the county seat of a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through which the Pedernales River flows;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birthplace of a president of the United States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municipality described by Subsection (e)(13) may also pledge revenue derived from the tax imposed under this chapter from a hotel project that is not owned by the municipality or located on land owned by the municipality. </w:t>
      </w:r>
      <w:r>
        <w:rPr>
          <w:u w:val="single"/>
        </w:rPr>
        <w:t xml:space="preserve"> </w:t>
      </w:r>
      <w:r>
        <w:rPr>
          <w:u w:val="single"/>
        </w:rPr>
        <w:t xml:space="preserve">In addition, the municipality is entitled to receive in relation to the hotel project all funds from a project described by Subsection (b) that an owner of a project may receive under Section 151.429(h) of this code or Section 2303.5055,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