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86R14215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3037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study the segregation of public school students with disabilities from other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29.028.</w:t>
      </w:r>
      <w:r>
        <w:rPr>
          <w:u w:val="single"/>
        </w:rPr>
        <w:t xml:space="preserve"> </w:t>
      </w:r>
      <w:r>
        <w:rPr>
          <w:u w:val="single"/>
        </w:rPr>
        <w:t xml:space="preserve"> </w:t>
      </w:r>
      <w:r>
        <w:rPr>
          <w:u w:val="single"/>
        </w:rPr>
        <w:t xml:space="preserve">TASK FORCE ON THE SEGREGATION OF STUDENTS WITH DISABILITIES.  (a)  The agency shall establish a task force to study the segregation of public school students with disabilities from other public school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be composed of teachers, advocates, parents, and other stakeholders selected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designate a member of the task force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on the task force shall be filled in the same manner as the initial selection.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task force may not receive compensation for service on the task force but is entitled to reimbursement for actual and necessary expenses incurred in performing task force duties.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may accept gifts and grants from any source to be used to carry out a function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meet at least quarterly at the call of the presiding officer and at other times as determined by the presiding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ongoing study of the effect of public schools segregating students with disabilities from other students. </w:t>
      </w:r>
      <w:r>
        <w:rPr>
          <w:u w:val="single"/>
        </w:rPr>
        <w:t xml:space="preserve"> </w:t>
      </w:r>
      <w:r>
        <w:rPr>
          <w:u w:val="single"/>
        </w:rPr>
        <w:t xml:space="preserve">The study must 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 achievement on assessment instruments adopted under Chapter 39;</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 absences from class;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 violations of the student code of conduct;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factors as determined relevant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recommendations for schools to better integrate students with disabilities into all school activities.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less than once every two years, the task force shall submit to the governor, the lieutenant governor, the speaker of the house of representatives, and the standing committees of the legislature having jurisdiction over the agency a report that summarizes the study conducted and recommendations developed under Subsection (h).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Government Code, does not apply to the task force established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task force shall submit the first report required under Subsection (i) not later than December 31,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Texas Education Agency shall appoint members to the task force established by Section 29.028, Education Code, as added by this Act, in the manner required by Subsection (b) of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