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86R21986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3041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3041:</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3041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renewal of a preauthorization for a medical or health care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Insurance Code, is amended by adding Chapter 1222 to read as follows:</w:t>
      </w:r>
    </w:p>
    <w:p w:rsidR="003F3435" w:rsidRDefault="0032493E">
      <w:pPr>
        <w:spacing w:line="480" w:lineRule="auto"/>
        <w:jc w:val="center"/>
      </w:pPr>
      <w:r>
        <w:rPr>
          <w:u w:val="single"/>
        </w:rPr>
        <w:t xml:space="preserve">CHAPTER 1222.  PREAUTHORIZATION FOR MEDICAL OR HEALTH CARE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plan" means a plan to which this chapter applies under Section 1222.0002.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entity authorized under this code or another insurance law of this state that provides health insurance or health benefits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"Preauthorization" has the meaning assigned by Section 1301.001.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1222.0002.</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1222.0003.</w:t>
      </w:r>
      <w:r>
        <w:rPr>
          <w:u w:val="single"/>
        </w:rPr>
        <w:t xml:space="preserve"> </w:t>
      </w:r>
      <w:r>
        <w:rPr>
          <w:u w:val="single"/>
        </w:rPr>
        <w:t xml:space="preserve"> </w:t>
      </w:r>
      <w:r>
        <w:rPr>
          <w:u w:val="single"/>
        </w:rPr>
        <w:t xml:space="preserve">PREAUTHORIZATION RENEWAL REQUEST.  A health benefit plan issuer that requires preauthorization as a condition of payment for a medical or health care service shall provide a preauthorization renewal process that allows a renewal of an existing preauthorization to be requested at least 60 days before the date the preauthorization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1222.0004.</w:t>
      </w:r>
      <w:r>
        <w:rPr>
          <w:u w:val="single"/>
        </w:rPr>
        <w:t xml:space="preserve"> </w:t>
      </w:r>
      <w:r>
        <w:rPr>
          <w:u w:val="single"/>
        </w:rPr>
        <w:t xml:space="preserve"> </w:t>
      </w:r>
      <w:r>
        <w:rPr>
          <w:u w:val="single"/>
        </w:rPr>
        <w:t xml:space="preserve">DETERMINATION REQUIRED.  If a health benefit plan issuer receives a preauthorization renewal request before the existing preauthorization expires, the health benefit plan issuer shall, if practicable, review the request and issue a determination indicating whether the medical or health care service is preauthorized before the existing preauthorization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