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Klick, Burrows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3044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3044: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Israel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3044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political expenditures made by a corporation to finance the solicitation of political contributions to a political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253.100(b),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corporation may make political expenditures</w:t>
      </w:r>
      <w:r>
        <w:rPr>
          <w:u w:val="single"/>
        </w:rPr>
        <w:t xml:space="preserve">, including fully or partially matching contributions to an organization that is exempt from federal income tax under Section 501(c)(3), Internal Revenue Code of 1986,</w:t>
      </w:r>
      <w:r>
        <w:t xml:space="preserve"> to finance the solicitation of political contributions to a general-purpose committee assisted under Subsection (a) from the stockholders, employees, or families of stockholders or employees of one or more corporations.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3044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