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86R13887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3049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occupational licenses to certain out-of-state applicants;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Occupations Code, is amended by adding Chapter 60 to read as follows:</w:t>
      </w:r>
    </w:p>
    <w:p w:rsidR="003F3435" w:rsidRDefault="0032493E">
      <w:pPr>
        <w:spacing w:line="480" w:lineRule="auto"/>
        <w:jc w:val="center"/>
      </w:pPr>
      <w:r>
        <w:rPr>
          <w:u w:val="single"/>
        </w:rPr>
        <w:t xml:space="preserve">CHAPTER 60. LICENSING OUT-OF-STATE APPLICANTS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 means a license, certificate, registration, permit, or other form of authorization required by law or a state agency rule that must be obtained by an individual to engage in a particular occupation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means a department, board, bureau, commission, committee, division, office, council, or agency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60.002.</w:t>
      </w:r>
      <w:r>
        <w:rPr>
          <w:u w:val="single"/>
        </w:rPr>
        <w:t xml:space="preserve"> </w:t>
      </w:r>
      <w:r>
        <w:rPr>
          <w:u w:val="single"/>
        </w:rPr>
        <w:t xml:space="preserve"> </w:t>
      </w:r>
      <w:r>
        <w:rPr>
          <w:u w:val="single"/>
        </w:rPr>
        <w:t xml:space="preserve">LICENSING OF OUT-OF-STATE APPLICANTS.  Notwithstanding any other law, a state agency that issues a license shall waive all education, training, experience, and examination requirements for obtaining a license for a license applicant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reviewing the applicant's credentials and determining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applicant holds a license issued by another state for an occupation that is substantially equivalent to the occupation for which the state agency issues the license;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applicant has held the license described by Paragraph (A) for at least one year;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applicant has not been disciplined by a licensing authority of the other state for violating a law or rule administered by the licensing authority;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applicant does not have a complaint or investigation pending before a licensing authority of the other 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applicant has not been convicted of and does not have pending a criminal case for an offense that disqualifies the applicant from holding a license issued by the state agency under the laws of this state;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license granted to the applicant by the other state has not been suspended, revoked, or surrendered for any reason;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has paid any required fee.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license submitted to a state agency on or after the effective date of this Act.  An application submitted to a state agency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