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86R12705 BEE-D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Thompson of Harris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3051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damage to a motor vehicle caused by the vehicle being flooded.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501.091, Transportation Code, is amended by adding Subdivision (4-a)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(4-a)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"Flooded" means, with respect to damage to a motor vehicle, submerged in water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rises higher than a doorsill of the vehicle, enters the vehicle's passenger, trunk, or engine compartment, and comes into contact with the vehicle's electrical system;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causes an insurance company to pay a claim on and take possession of the vehicle.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501.09112(d),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salvage vehicle title or a salvage record of title for a vehicle that is a salvage motor vehicle because of damage caused exclusively by </w:t>
      </w:r>
      <w:r>
        <w:rPr>
          <w:u w:val="single"/>
        </w:rPr>
        <w:t xml:space="preserve">the vehicle being flooded</w:t>
      </w:r>
      <w:r>
        <w:t xml:space="preserve"> [</w:t>
      </w:r>
      <w:r>
        <w:rPr>
          <w:strike/>
        </w:rPr>
        <w:t xml:space="preserve">flood</w:t>
      </w:r>
      <w:r>
        <w:t xml:space="preserve">] must bear a notation that the department considers appropriate.  If the title for a motor vehicle reflects the notation required by this subsection, the owner may sell, transfer, or release the motor vehicle only as provided by this subchapter.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3051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