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86R14077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June as Gun Violence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662.112.</w:t>
      </w:r>
      <w:r>
        <w:rPr>
          <w:u w:val="single"/>
        </w:rPr>
        <w:t xml:space="preserve"> </w:t>
      </w:r>
      <w:r>
        <w:rPr>
          <w:u w:val="single"/>
        </w:rPr>
        <w:t xml:space="preserve"> </w:t>
      </w:r>
      <w:r>
        <w:rPr>
          <w:u w:val="single"/>
        </w:rPr>
        <w:t xml:space="preserve">GUN VIOLENCE AWARENESS MONTH.  (a)  June is Gun Violence Awareness Month to increase awareness of gun violence and encourage community residents and leaders to discuss and implement methods for reducing or preventing gun violence in order to make communities safer and healthier, especially during the summer months when gun violence typically peaks.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Gun Violence Awareness Month may be regularly observed through appropriate activities in communities to increase awareness and prevention of gun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