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86R25667 SMT-D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Lambert, Kacal, King of Hemphill, Shine,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Bonnen of Galveston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Lucio III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3056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"rural property" means property located </w:t>
      </w:r>
      <w:r>
        <w:rPr>
          <w:u w:val="single"/>
        </w:rPr>
        <w:t xml:space="preserve">in</w:t>
      </w:r>
      <w:r>
        <w:t xml:space="preserve"> </w:t>
      </w:r>
      <w:r>
        <w:t xml:space="preserve">[</w:t>
      </w:r>
      <w:r>
        <w:rPr>
          <w:strike/>
        </w:rPr>
        <w:t xml:space="preserve">outside an area of land subject to the taxing authority of</w:t>
      </w:r>
      <w:r>
        <w:t xml:space="preserve">] a municipality with a population of </w:t>
      </w:r>
      <w:r>
        <w:rPr>
          <w:u w:val="single"/>
        </w:rPr>
        <w:t xml:space="preserve">50,000 or less</w:t>
      </w:r>
      <w:r>
        <w:t xml:space="preserve"> </w:t>
      </w:r>
      <w:r>
        <w:t xml:space="preserve">[</w:t>
      </w:r>
      <w:r>
        <w:rPr>
          <w:strike/>
        </w:rPr>
        <w:t xml:space="preserve">more than 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3056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