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86R8141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appointment, powers, duties, rights, and privileges of special Texas constables.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2.128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2.128.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SPECIAL TEXAS CONSTABLE.  (a) The governor may appoint as a special Texas constable an honorably retired peace officer, as defined by Section 614.121(2), Government Code,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served as: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elected or appointed constable in this state;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chief deputy constable in the office of an elected or appointed constable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employed full-time as a peace officer by the state or a political subdivision of this state for at least 20 years;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held a master proficiency certificate issued by the Texas Commission on Law Enforcement upon retirement;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reactivated the officer's license as provided by Section 1701.3161,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subject to orders of the governor for special duty to the same extent as other peace officers commissioned under Chapter 411, 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Subdivision (3), has the same rights and privileges as any other peace officer of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enforce only: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provisions of the Penal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state laws intended to protect life or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 civil or criminal process and retain a fee from that service;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engage in off-duty employment, except 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establishment licensed or permitted under the Alcoholic Beverage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business that allows a person to bring and consume on the premises of that business an alcoholic beverage.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 is not connected to any elected or appointed constable's office.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 a special Texas constable appointment must be filed with the governor's office and include a high-quality photograph of the applicant wearing a suit, tie, and silver belly western felt hat.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appointment of a special Texas constable, the governor's office shall provide the constable an identification card that bears: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high-quality photograph of the constable wearing a suit, tie, and silver belly western felt hat;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words: "I hereby certify that (name of officer) has been appointed a special Texas constable by the governor of the State of Texas effective (date of appointment).";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following the words required by Subdivision (2), the governor's name and signature.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(h), while engaging in any activity described by Subsection (c) or providing services under order of the governor, a special Texas constable must wear: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pressed or starched western clothing, including a silver belly western felt or high-quality straw hat;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boots.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 is not required to wear the clothing or boots described by Subsection (g)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wearing the clothing or boots is not feasible;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licensed under Subtitle B, Title 3, Occupations Code, recommends to the constable in writing against wearing the clothing or boots.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arrest of an individual by a special Texas constable: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constable shall as soon as practicable after the arrest notify a local law enforcement agency with jurisdiction over the location where the arrest was made;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law enforcement agency shall: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custody of the arrested person and take that person before a magistrate as required under Article 14.06;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custody of any property seized during or after the arrest as if that property had been seized by a peace officer of that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appointment of a person as a special Texas constable, the person shall enter into a good and sufficient bond executed by a surety company authorized to do business in this state in the amount of $5,000, approved by the governor, and indemnifying all persons against damages resulting from an unlawful act of the person while serving as a special Texas constable.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establish by rule standards governing the conduct and duties of a special Texas constable;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revoke a special Texas constable appointment for good cause and for failure of the constable to provide proof of completion of a requirement described by Section 1701.356(d)(1)(A), (B), or (C), Occupations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required to provide to a special Texas constable a training program under Section 1701.352,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 appointment expires on January 15 of the fifth calendar year after the year in which the appointment was made. </w:t>
      </w:r>
      <w:r>
        <w:rPr>
          <w:u w:val="single"/>
        </w:rPr>
        <w:t xml:space="preserve"> </w:t>
      </w:r>
      <w:r>
        <w:rPr>
          <w:u w:val="single"/>
        </w:rPr>
        <w:t xml:space="preserve">On expiration of the appointment, a special Texas constable is eligible for reappointment.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1701.356, Occupations Code, is amended by adding Subsections (d)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 appointed under Article 2.128, Code of Criminal Procedure, is exempt from the continuing education requirements of this chapter, except that the constable: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 demonstrate weapons proficiency;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every 24 months attend at least 20 hours of instruction in civil process, as described by Section 1701.354;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every 24 months complete a training and education program that covers recent changes to the laws of this state and of the United States pertaining to peace officers, as described by Section 1701.351(a-1);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governor's office proof of completion of each requirement described by Paragraph (A), (B), or (C), within 90 days of completing the requirement;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eligible to attend any course offered in this state that satisfies a requirement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(d), a special Texas constable appointed under Article 2.128, Code of Criminal Procedure, may be exempt from a requirement described by Subsection (d)(1)(A), (B), or (C) if a physician licensed under Subtitle B, Title 3, recommends in writing against the constable's participation in that requirement. </w:t>
      </w:r>
      <w:r>
        <w:rPr>
          <w:u w:val="single"/>
        </w:rPr>
        <w:t xml:space="preserve"> </w:t>
      </w:r>
      <w:r>
        <w:rPr>
          <w:u w:val="single"/>
        </w:rPr>
        <w:t xml:space="preserve">An exemption under this subsection lasts for not more than 11 months from the date of the recommendation.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1702.322,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1702.322.</w:t>
      </w:r>
      <w:r xml:space="preserve">
        <w:t> </w:t>
      </w:r>
      <w:r xml:space="preserve">
        <w:t> </w:t>
      </w:r>
      <w:r>
        <w:t xml:space="preserve">LAW ENFORCEMENT PERSONNEL.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who has full-time employment as a peace officer and who receives compensation for private employment on an individual or an independent contractor basis as a patrolman, guard, extra job coordinator, or watchman if the officer: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employed in an employee-employer relationship or employed on an individual contractual basis: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directly by the recipient of the services;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by a company licensed under this chapter;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not in the employ of another peace officer;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not a reserve peace officer;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works as a peace officer on the average of at least 32 hours a week, is compensated by the state or a political subdivision of the state at least at the minimum wage, and is entitled to all employee benefits offered to a peace officer by the state or political subdivision;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reserve peace officer while the reserve officer is performing guard, patrolman, or watchman duties for a county and is being compensated solely by that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peace officer acting in an official capacity in responding to a burglar alarm or detection device;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engaged in the business of electronic monitoring of an individual as a condition of that individual's community supervision, parole, mandatory supervision, or release on bail, if the person does not perform any other service that requires a license under this chapter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 appointed under Article 2.128, Code of Criminal Procedure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