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86R5243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parents of students enrolled at a low-performing public school campus to petition the commissioner of education for the appointment of a board of managers, alternative management, or closure of the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39A.112, Education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Notwithstanding Section 39A.101, if a campus has been assigned an unacceptable performance rating under Section 39.054 for two consecutive school years, a majority of the parents of the students enrolled at the campus may, at any time, submit a petition to the commissioner requesting that the commissioner order one of the following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appointment of a board of managers to govern the school district as provided by Section 39A.202;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alternative management of the campus;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closure of the campus</w:t>
      </w:r>
      <w:r>
        <w:t xml:space="preserve"> [</w:t>
      </w:r>
      <w:r>
        <w:rPr>
          <w:strike/>
        </w:rPr>
        <w:t xml:space="preserve">If the commissioner is presented, in the time and manner specified by commissioner rule, with a written petition signed by the parents of a majority of the students enrolled at a campus to which Section 39A.111 applies, specifying an action authorized under that section that the parents request the commissioner to order, the commissioner shall, except as otherwise authorized by this section, order the specific action requested</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consider the action requested in a parents'</w:t>
      </w:r>
      <w:r>
        <w:rPr>
          <w:u w:val="single"/>
        </w:rPr>
        <w:t xml:space="preserve"> </w:t>
      </w:r>
      <w:r>
        <w:rPr>
          <w:u w:val="single"/>
        </w:rPr>
        <w:t xml:space="preserve">petition under Subsection (b) in determining whether to order the requested action or another permissible action under this subchapter, including ordering the campus to prepare or implement a campus turnaround plan.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petition submitted under Subsection (b) must be in a form prescribed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