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86R11586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3064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health benefit claims in coordination with third-party liability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1203, Insurance Code, is amended by adding Subchapter C to read as follows:</w:t>
      </w:r>
    </w:p>
    <w:p w:rsidR="003F3435" w:rsidRDefault="0032493E">
      <w:pPr>
        <w:spacing w:line="480" w:lineRule="auto"/>
        <w:jc w:val="center"/>
      </w:pPr>
      <w:r>
        <w:rPr>
          <w:u w:val="single"/>
        </w:rPr>
        <w:t xml:space="preserve">SUBCHAPTER C.  THIRD-PARTY LIABILITY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for coverage under a health benefit plan, including a covered dependent.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group, blanket, or franchise insurance policy, a group hospital service contract, or a group subscriber contract or evidence of coverage issued by a health maintenance organization, that provides benefits for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1203.103.</w:t>
      </w:r>
      <w:r>
        <w:rPr>
          <w:u w:val="single"/>
        </w:rPr>
        <w:t xml:space="preserve"> </w:t>
      </w:r>
      <w:r>
        <w:rPr>
          <w:u w:val="single"/>
        </w:rPr>
        <w:t xml:space="preserve"> </w:t>
      </w:r>
      <w:r>
        <w:rPr>
          <w:u w:val="single"/>
        </w:rPr>
        <w:t xml:space="preserve">DELAY OF PAYMENT PROHIBITED.  A health benefit plan issuer may not delay payment of a claim or provision of coverage for a benefit under the issuer's health benefit plan on the basis that the enrollee may be eligible to recover under a third party's liability insurance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1203.103, Insurance Code, as added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