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86R6081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3065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adoption by a stepparent.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162, Family Code, is amended by adding Section 162.0027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162.0027.</w:t>
      </w:r>
      <w:r>
        <w:rPr>
          <w:u w:val="single"/>
        </w:rPr>
        <w:t xml:space="preserve"> </w:t>
      </w:r>
      <w:r>
        <w:rPr>
          <w:u w:val="single"/>
        </w:rPr>
        <w:t xml:space="preserve"> </w:t>
      </w:r>
      <w:r>
        <w:rPr>
          <w:u w:val="single"/>
        </w:rPr>
        <w:t xml:space="preserve">ADOPTION BY STEPPARENT.  (a)  In a suit for adoption, a court or person performing an adoption evaluation may not grant preference to a relative of the child over a stepparent of the child solely on the basis of consanguinity.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parent of the child dies, leaving the child with no living parent whose parental rights have not been terminated, the court may grant a stepparent's petition for adoption on an expedited basis, provided that all requirements of this chapter are fulfilled.  The child may reside with the stepparent while the adoption petition is pending, unless the court finds that would not be in the best interest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petition for adoption filed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