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86R18713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Allison,</w:t>
      </w:r>
      <w:r xml:space="preserve">
        <w:tab wTab="150" tlc="none" cTlc="0"/>
      </w:r>
      <w:r>
        <w:t xml:space="preserve">H.B.</w:t>
      </w:r>
      <w:r xml:space="preserve">
        <w:t> </w:t>
      </w:r>
      <w:r>
        <w:t xml:space="preserve">No.</w:t>
      </w:r>
      <w:r xml:space="preserve">
        <w:t> </w:t>
      </w:r>
      <w:r>
        <w:t xml:space="preserve">3069</w:t>
      </w:r>
    </w:p>
    <w:p w:rsidR="003F3435" w:rsidRDefault="0032493E">
      <w:pPr>
        <w:jc w:val="both"/>
      </w:pPr>
      <w:r xml:space="preserve">
        <w:t> </w:t>
      </w:r>
      <w:r xml:space="preserve">
        <w:t> </w:t>
      </w:r>
      <w:r xml:space="preserve">
        <w:t> </w:t>
      </w:r>
      <w:r xml:space="preserve">
        <w:t> </w:t>
      </w:r>
      <w:r xml:space="preserve">
        <w:t> </w:t>
      </w:r>
      <w:r>
        <w:t xml:space="preserve">Capriglione, Longoria, Rose</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3069:</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3069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for promoting computer science certification and professional development in coding, technology applications, and computer science for public school teachers.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21, Education Code, is amended by adding Section 21.468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21.468.</w:t>
      </w:r>
      <w:r>
        <w:rPr>
          <w:u w:val="single"/>
        </w:rPr>
        <w:t xml:space="preserve"> </w:t>
      </w:r>
      <w:r>
        <w:rPr>
          <w:u w:val="single"/>
        </w:rPr>
        <w:t xml:space="preserve"> </w:t>
      </w:r>
      <w:r>
        <w:rPr>
          <w:u w:val="single"/>
        </w:rPr>
        <w:t xml:space="preserve">COMPUTER SCIENCE AND TECHNOLOGY APPLICATIONS PROFESSIONAL DEVELOPMENT GRANT PROGRAM.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 competitive professional development grant program to encourage teachers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computer science certification;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 professional development in coding, computational thinking, and computer science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funds appropriated for the purpose, the commissioner shall make grants to eligible providers that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professional development for elementary school and middle and junior high school teachers to ensure teachers maintain a working knowledge of current computer industry standard tools and resources;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for computer science certification for teachers in accordance with certification requirements adopted by the State Board for Educator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eligible to receive a grant under this section, a provider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an institution of higher education, regional education service center, or school district or partnership of multiple school districts or a nonprofit entity approved by the commissioner that has demonstrated experience in providing professional development through a statewide network;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eligibility standards established by commissioner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eligible provider receiving a grant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training or professional development described by Subsection (c) and establish professional development hubs in each education service center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high-need campuses;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established partnerships with institution of higher education faculty with expertise in computing and computer science education;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partnerships with computer industry professionals.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total amount of grants awarded under this section for a state fiscal biennium may not exceed $4 million.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31, 2019, the commissioner of education shall establish the grant program required under Section 21.468,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