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86R17325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Springer, Cyrier, Murr,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Kacal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emergency assistance under the rural volunteer fire department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614.102, Government Code, is amended by amending Subsection (c)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 reasonable criteria and qualifications for the distribution of money from the volunteer fire department assistance fund,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frequency, size, and severity of past wildfires in a volunteer fire department's jurisdiction;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potential for loss or damage to property resulting from future wildfires in the department's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need for emergency assistance under Section 614.103(a-1);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 procedure for reporting and processing requests for money from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for processing requests established under Subsection (c) must require the director to process a request for emergency assistance under Section 614.103(a-1) before any other type of request for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614.103,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volunteer fire department whose equipment is damaged or lost in responding to a declared state of disaster under Chapter 418 in an area subject to the declaration may submit a request for emergency assistance from the fund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replacement or repair of damaged or lost personal protective equipment or other firefighting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of a machine to clean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director of the Texas A&amp;M Forest Service shall adopt rules as necessary to implement Subchapter G, Chapter 614,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