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86R12243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grants for emergency assistance under the rural volunteer fire department assistance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614.102(c),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director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determine reasonable criteria and qualifications for the distribution of money from the volunteer fire department assistance fund,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frequency, size, and severity of past wildfires in a volunteer fire department's jurisdiction;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potential for loss or damage to property resulting from future wildfires in the department's jurisdiction;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department's need for emergency assistance under Section 614.103(a-1);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 a procedure for reporting and processing requests for money from the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614.103,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volunteer fire department whose equipment is damaged or lost in responding to a declared state of disaster under Chapter 418 in an area subject to the declaration may submit a request for emergency assistance from the fund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replacement or repair of damaged or lost personal protective equipment or other firefighting equipment;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purchase of a machine to clean personal protective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614, Government Code, is amended by adding Section 614.1055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614.1055.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SEPARATE ACCOUNT FOR CERTAIN EMERGENCY ASSISTANCE.  (a)  The service shall maintain a separate account within the volunteer fire department assistance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account shall contain money from any legislative appropriations for the purposes of Subsection (c).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money in the account may be used only to award grants in response to a request for emergency assistance under Section 614.103(a-1).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director of the Texas A&amp;M Forest Service shall adopt rules as necessary to implement Subchapter G, Chapter 614, Government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