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86R13911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King of Hemphill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3071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disclosure of certain information related to an abortion facility.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245, Health and Safety Code, is amended by adding Section 245.026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245.026.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PUBLIC INFORMATION.  The following information is public information and may be disclosed under Chapter 552, Government Code: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abortion complication report submitted under Section 171.006, as added by Chapter 4 (H.B.</w:t>
      </w:r>
      <w:r>
        <w:rPr>
          <w:u w:val="single"/>
        </w:rPr>
        <w:t xml:space="preserve"> </w:t>
      </w:r>
      <w:r>
        <w:rPr>
          <w:u w:val="single"/>
        </w:rPr>
        <w:t xml:space="preserve">13), Acts of the 85th Legislature, 1st Called Session, 2017;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license application submitted under Section 245.005;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report of an inspection conducted under Section 245.006.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3071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