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86R21204 SCL-F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Noble, 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investigations of abuse, neglect, or exploitation of home and community support services agencies providing inpatient hospice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142, Health and Safety Code, is amended by adding Section 142.0095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142.0095.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INVESTIGATIONS OF HOME AND COMMUNITY SUPPORT SERVICES AGENCIES PROVIDING HOSPICE SERVICES.  The commission or its authorized representative shall investigate an allegation of abuse, neglect, or exploitation of a client of any age of a home and community support services agency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abuse, neglect, or exploitation occurs when the client is receiving inpatient hospice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alleged perpetrator of the abuse, neglect, or exploitation is an employee, volunteer, contractor, or subcontractor of the home and community support services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142.0095, Health and Safety Code, as added by this Act, applies only to an allegation made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