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86R13544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investigating and prosecuting the criminal offense of operating an unmanned aircraft over or near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t>
      </w:r>
      <w:r>
        <w:rPr>
          <w:u w:val="single"/>
        </w:rPr>
        <w:t xml:space="preserve">with criminal negligence</w:t>
      </w:r>
      <w:r>
        <w:t xml:space="preserve"> [</w:t>
      </w:r>
      <w:r>
        <w:rPr>
          <w:strike/>
        </w:rPr>
        <w:t xml:space="preserve">intentionally or knowingly</w:t>
      </w:r>
      <w:r>
        <w:t xml:space="preserve">]:</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detention facility, or critical infrastructure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detention facility, or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detention facility, or critical infrastructure facility that is close enough to interfere with the operations of or cause a disturbance to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investigates an offense under this section shall notify the Department of Public Safety of the investigation.  The department may require further information from the officer as the department determines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