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sales and use tax exemption for property used in the production of motion picture, video, 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151.3185,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151.3185. PROPERTY USED IN THE PRODUCTION OF MOTION </w:t>
      </w:r>
      <w:r>
        <w:rPr>
          <w:u w:val="single"/>
        </w:rPr>
        <w:t xml:space="preserve">PICTURE,</w:t>
      </w:r>
      <w:r>
        <w:t xml:space="preserve"> </w:t>
      </w:r>
      <w:r>
        <w:t xml:space="preserve">[</w:t>
      </w:r>
      <w:r>
        <w:rPr>
          <w:strike/>
        </w:rPr>
        <w:t xml:space="preserve">PICTURES OR</w:t>
      </w:r>
      <w:r>
        <w:t xml:space="preserve">] VIDEO</w:t>
      </w:r>
      <w:r>
        <w:rPr>
          <w:u w:val="single"/>
        </w:rPr>
        <w:t xml:space="preserve">,</w:t>
      </w:r>
      <w:r>
        <w:t xml:space="preserve"> </w:t>
      </w:r>
      <w:r>
        <w:t xml:space="preserve">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151.3185, Tax Code, is amended by amending Subsections (a) and (e)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sale, lease, or rental or storage, use, or other consumption of the following items are exempted from the taxes imposed by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tangible personal property that will become an ingredient or component part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broadcast by a producer of cable programs or by a radio or television station licensed by the Federal Communications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tangible personal property that is necessary or essential to and used or consumed in or during: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production of 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production of a broadcast by or for a cable program producer or by or for a radio or television station licensed by the Federal Communications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Subsection (c), services that are necessary and essential to and used directly in a production described by Subdivision (2)(A) or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sale of a motion picture, video, or audio master </w:t>
      </w:r>
      <w:r>
        <w:rPr>
          <w:u w:val="single"/>
        </w:rPr>
        <w:t xml:space="preserve">recording</w:t>
      </w:r>
      <w:r>
        <w:t xml:space="preserve"> by the producer of the master </w:t>
      </w:r>
      <w:r>
        <w:rPr>
          <w:u w:val="single"/>
        </w:rPr>
        <w:t xml:space="preserve">recording</w:t>
      </w:r>
      <w:r>
        <w:t xml:space="preserve"> </w:t>
      </w:r>
      <w:r>
        <w:t xml:space="preserve">is exempt from the taxes imposed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"master recording" means the principal media on which images, sound, or a combination of images and sound are first fixed and from which copies are commercially made available for sale, license, distribution, broadcast, or exhibition for consideration.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3086 was passed by the House on April 10, 2019, by the following vote:</w:t>
      </w:r>
      <w:r xml:space="preserve">
        <w:t> </w:t>
      </w:r>
      <w:r xml:space="preserve">
        <w:t> </w:t>
      </w:r>
      <w:r>
        <w:t xml:space="preserve">Yeas 142, Nays 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3086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