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86R10654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3087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responsibility for defects in the plans, specifications, or other documents for the construction or repair of highways, bridges, or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472, Transportation Code, is amended by adding Subchapter E to read as follows:</w:t>
      </w:r>
    </w:p>
    <w:p w:rsidR="003F3435" w:rsidRDefault="0032493E">
      <w:pPr>
        <w:spacing w:line="480" w:lineRule="auto"/>
        <w:jc w:val="center"/>
      </w:pPr>
      <w:r>
        <w:rPr>
          <w:u w:val="single"/>
        </w:rPr>
        <w:t xml:space="preserve">SUBCHAPTER E.  RESPONSIBILITY FOR DEFECTS IN PLANS AND SPECIFICATIONS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472.051.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"Contractor" means a person required to perform work under a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regional tollway authority created under Chapter 366;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regional mobility authority created under Chapter 370;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corporation organized under Chapter 431.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472.052.</w:t>
      </w:r>
      <w:r>
        <w:rPr>
          <w:u w:val="single"/>
        </w:rPr>
        <w:t xml:space="preserve"> </w:t>
      </w:r>
      <w:r>
        <w:rPr>
          <w:u w:val="single"/>
        </w:rPr>
        <w:t xml:space="preserve"> </w:t>
      </w:r>
      <w:r>
        <w:rPr>
          <w:u w:val="single"/>
        </w:rPr>
        <w:t xml:space="preserve">APPLICABILITY.  (a)  This subchapter applies only to a contract between a governmental entity and a contractor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or repair of a highway: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operated by the governmental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any number of lanes;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or without grade separations;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improvement, extension, or expansion of a highway described by Subdivision (1),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improvement to relieve traffic congestion and promote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bridge, tunnel, overpass, underpass, interchange, service road ramp, entrance plaza, approach, or tollhouse;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parking area or structure, rest stop, park, or other improvement or amenity that the governmental entity determines is necessary, useful, or beneficial to the operation of the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governmental entity authorized by state law to enter into a contract to which this subchapter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who enters into a contract with a governmental entity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472.053.</w:t>
      </w:r>
      <w:r>
        <w:rPr>
          <w:u w:val="single"/>
        </w:rPr>
        <w:t xml:space="preserve"> </w:t>
      </w:r>
      <w:r>
        <w:rPr>
          <w:u w:val="single"/>
        </w:rPr>
        <w:t xml:space="preserve"> </w:t>
      </w:r>
      <w:r>
        <w:rPr>
          <w:u w:val="single"/>
        </w:rPr>
        <w:t xml:space="preserve">CONTRACTOR NOT RESPONSIBLE FOR CERTAIN DEFECTS.  Notwithstanding any other law, a contractor operating under a contract with a governmental entity to which this subchapter applies is not responsible for defects or the consequences of defects in the accuracy, adequacy, sufficiency, or suitability of plans, specifications, or other design or bid documents provided to the contractor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third party under a separate contract with the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with a governmental entity that owns or operates a highway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