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86R20987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w:t>
      </w:r>
      <w:r xml:space="preserve">
        <w:tab wTab="150" tlc="none" cTlc="0"/>
      </w:r>
      <w:r>
        <w:t xml:space="preserve">H.B.</w:t>
      </w:r>
      <w:r xml:space="preserve">
        <w:t> </w:t>
      </w:r>
      <w:r>
        <w:t xml:space="preserve">No.</w:t>
      </w:r>
      <w:r xml:space="preserve">
        <w:t> </w:t>
      </w:r>
      <w:r>
        <w:t xml:space="preserve">3092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3092:</w:t>
      </w: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C.S.H.B.</w:t>
      </w:r>
      <w:r xml:space="preserve">
        <w:t> </w:t>
      </w:r>
      <w:r>
        <w:t xml:space="preserve">No.</w:t>
      </w:r>
      <w:r xml:space="preserve">
        <w:t> </w:t>
      </w:r>
      <w:r>
        <w:t xml:space="preserve">3092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of an epizootic infectious disease occurring in an animal shelter.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823, Health and Safety Code, is amended by adding Section 823.004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823.004.</w:t>
      </w:r>
      <w:r>
        <w:rPr>
          <w:u w:val="single"/>
        </w:rPr>
        <w:t xml:space="preserve"> </w:t>
      </w:r>
      <w:r>
        <w:rPr>
          <w:u w:val="single"/>
        </w:rPr>
        <w:t xml:space="preserve"> </w:t>
      </w:r>
      <w:r>
        <w:rPr>
          <w:u w:val="single"/>
        </w:rPr>
        <w:t xml:space="preserve">REQUIRED NOTICE OF EPIZOOTIC INFECTIOUS DISEASES.  (a) </w:t>
      </w:r>
      <w:r>
        <w:rPr>
          <w:u w:val="single"/>
        </w:rPr>
        <w:t xml:space="preserve"> </w:t>
      </w:r>
      <w:r>
        <w:rPr>
          <w:u w:val="single"/>
        </w:rPr>
        <w:t xml:space="preserve">In this section, "epizootic" has the meaning assigned by Section 826.002.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animal shelter shall provide written, electronic, or telephonic notice to each person who adopts an animal from the shelter of any epizootic infectious disease that occurs among the animals in the shelter within the 15-day period: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the date the person adopts the animal;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the date the person adopts the animal.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823.009 does not apply to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3092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