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carrying automated external defibrillators in certain Department of Public Safety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411.0094.</w:t>
      </w:r>
      <w:r>
        <w:rPr>
          <w:u w:val="single"/>
        </w:rPr>
        <w:t xml:space="preserve"> </w:t>
      </w:r>
      <w:r>
        <w:rPr>
          <w:u w:val="single"/>
        </w:rPr>
        <w:t xml:space="preserve"> </w:t>
      </w:r>
      <w:r>
        <w:rPr>
          <w:u w:val="single"/>
        </w:rPr>
        <w:t xml:space="preserve">PILOT PROGRAM FOR CARRYING AUTOMATED EXTERNAL DEFIBRILLATORS IN CERTAIN DEPARTMENT VEHICLES.  (a)  The department shall develop and implement a pilot program in the department's West Texas Region and Northwest Texas Region that requires each department vehicle used for highway patrol in those regions to carry an automated external defibrillator.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each use of an automated external defibrillator included in the pilot program under Subsection (a) and the location of use, including the county in which the defibrillator was used and the approximate address of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2028, the department shall submit a written report to the governor, the lieutenant governor, the speaker of the house of representatives, and the standing committees of the house of </w:t>
      </w:r>
      <w:r>
        <w:rPr>
          <w:u w:val="single"/>
        </w:rPr>
        <w:t xml:space="preserve">representatives and the senate with primary jurisdiction over the department on the results of the pilot program, including the information documented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