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86R20775 SLB-D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Nevárez</w:t>
      </w:r>
      <w:r xml:space="preserve">
        <w:tab wTab="150" tlc="none" cTlc="0"/>
      </w:r>
      <w:r>
        <w:t xml:space="preserve">H.B.</w:t>
      </w:r>
      <w:r xml:space="preserve">
        <w:t> </w:t>
      </w:r>
      <w:r>
        <w:t xml:space="preserve">No.</w:t>
      </w:r>
      <w:r xml:space="preserve">
        <w:t> </w:t>
      </w:r>
      <w:r>
        <w:t xml:space="preserve">3099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standards for water management in certain areas.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2, Water Code, is amended by adding Subtitle G to read as follows:</w:t>
      </w:r>
    </w:p>
    <w:p w:rsidR="003F3435" w:rsidRDefault="0032493E">
      <w:pPr>
        <w:spacing w:line="480" w:lineRule="auto"/>
        <w:jc w:val="center"/>
      </w:pPr>
      <w:r>
        <w:rPr>
          <w:u w:val="single"/>
        </w:rPr>
        <w:t xml:space="preserve">SUBTITLE G.  MISCELLANEOUS PROVISIONS</w:t>
      </w:r>
    </w:p>
    <w:p w:rsidR="003F3435" w:rsidRDefault="0032493E">
      <w:pPr>
        <w:spacing w:line="480" w:lineRule="auto"/>
        <w:jc w:val="center"/>
      </w:pPr>
      <w:r>
        <w:rPr>
          <w:u w:val="single"/>
        </w:rPr>
        <w:t xml:space="preserve">CHAPTER 39.  STANDARDS FOR SURFACE WATER AND GROUNDWATER MANAGEMENT IN CERTAIN AREAS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39.0101.</w:t>
      </w:r>
      <w:r>
        <w:rPr>
          <w:u w:val="single"/>
        </w:rPr>
        <w:t xml:space="preserve"> </w:t>
      </w:r>
      <w:r>
        <w:rPr>
          <w:u w:val="single"/>
        </w:rPr>
        <w:t xml:space="preserve"> </w:t>
      </w:r>
      <w:r>
        <w:rPr>
          <w:u w:val="single"/>
        </w:rPr>
        <w:t xml:space="preserve">STANDARDS FOR SURFACE WATER AND GROUNDWATER MANAGEMENT IN CERTAIN AREAS.  (a)  This section applies to a county: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bordering the Rio Grande;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overlying the Edwards-Trinity Aquifer;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with a population greater than 40,000.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Texas Water Development Board in coordination with the Texas Commission on Environmental Quality and the Parks and Wildlife Department shall adopt standards for water management by a conservation and reclamation district in a county to which this section applies.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Standards adopted under this section must address: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groundwater management;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river and spring flow, including flow requirements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Devils River;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Pecos River;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San Felipe Springs.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Texas Water Development Board, Texas Commission on Environmental Quality, and Parks and Wildlife Department shall use existing funds to adopt standards as required by Section 39.0101, Water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